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37" w:rsidRDefault="00BB77B9">
      <w:r>
        <w:t>KS1 and EYFS data</w:t>
      </w:r>
    </w:p>
    <w:tbl>
      <w:tblPr>
        <w:tblStyle w:val="TableGrid"/>
        <w:tblW w:w="9546" w:type="dxa"/>
        <w:tblInd w:w="-530" w:type="dxa"/>
        <w:tblLook w:val="04A0" w:firstRow="1" w:lastRow="0" w:firstColumn="1" w:lastColumn="0" w:noHBand="0" w:noVBand="1"/>
      </w:tblPr>
      <w:tblGrid>
        <w:gridCol w:w="3080"/>
        <w:gridCol w:w="1354"/>
        <w:gridCol w:w="1089"/>
        <w:gridCol w:w="1345"/>
        <w:gridCol w:w="1375"/>
        <w:gridCol w:w="1303"/>
      </w:tblGrid>
      <w:tr w:rsidR="00A30E89" w:rsidTr="00A30E89">
        <w:tc>
          <w:tcPr>
            <w:tcW w:w="3080" w:type="dxa"/>
          </w:tcPr>
          <w:p w:rsidR="00A30E89" w:rsidRPr="00CB025F" w:rsidRDefault="00A30E89" w:rsidP="00BB77B9">
            <w:pPr>
              <w:spacing w:after="135" w:line="270" w:lineRule="atLeast"/>
              <w:textAlignment w:val="baseline"/>
              <w:rPr>
                <w:rFonts w:ascii="inherit" w:eastAsia="Times New Roman" w:hAnsi="inherit" w:cs="Helvetica"/>
                <w:b/>
                <w:color w:val="404040"/>
                <w:sz w:val="24"/>
                <w:szCs w:val="20"/>
                <w:lang w:eastAsia="en-GB"/>
              </w:rPr>
            </w:pPr>
            <w:r w:rsidRPr="00CB025F">
              <w:rPr>
                <w:rFonts w:ascii="inherit" w:eastAsia="Times New Roman" w:hAnsi="inherit" w:cs="Helvetica"/>
                <w:b/>
                <w:color w:val="404040"/>
                <w:sz w:val="24"/>
                <w:szCs w:val="20"/>
                <w:lang w:eastAsia="en-GB"/>
              </w:rPr>
              <w:t> </w:t>
            </w:r>
          </w:p>
        </w:tc>
        <w:tc>
          <w:tcPr>
            <w:tcW w:w="1354" w:type="dxa"/>
          </w:tcPr>
          <w:p w:rsidR="00A30E89" w:rsidRDefault="00A30E89" w:rsidP="00BB77B9">
            <w:r>
              <w:t>2016</w:t>
            </w:r>
          </w:p>
        </w:tc>
        <w:tc>
          <w:tcPr>
            <w:tcW w:w="1089" w:type="dxa"/>
          </w:tcPr>
          <w:p w:rsidR="00A30E89" w:rsidRDefault="00A30E89" w:rsidP="00BB77B9">
            <w:r>
              <w:t>2017</w:t>
            </w:r>
          </w:p>
        </w:tc>
        <w:tc>
          <w:tcPr>
            <w:tcW w:w="1345" w:type="dxa"/>
          </w:tcPr>
          <w:p w:rsidR="00A30E89" w:rsidRDefault="00A30E89" w:rsidP="00BB77B9">
            <w:r>
              <w:t>2018</w:t>
            </w:r>
          </w:p>
        </w:tc>
        <w:tc>
          <w:tcPr>
            <w:tcW w:w="1375" w:type="dxa"/>
          </w:tcPr>
          <w:p w:rsidR="00A30E89" w:rsidRDefault="00A30E89" w:rsidP="00BB77B9">
            <w:r>
              <w:t>2019</w:t>
            </w:r>
          </w:p>
        </w:tc>
        <w:tc>
          <w:tcPr>
            <w:tcW w:w="1303" w:type="dxa"/>
          </w:tcPr>
          <w:p w:rsidR="00A30E89" w:rsidRDefault="00A30E89" w:rsidP="00BB77B9">
            <w:r>
              <w:t>National</w:t>
            </w:r>
          </w:p>
          <w:p w:rsidR="00A30E89" w:rsidRDefault="00A30E89" w:rsidP="00BB77B9">
            <w:r>
              <w:t>2019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Year 2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Reading, Writing and Maths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Achieving expected in RWM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75%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73%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1303" w:type="dxa"/>
          </w:tcPr>
          <w:p w:rsidR="00A30E89" w:rsidRPr="00A30E89" w:rsidRDefault="002E2B98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65%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Greater depth in RWM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17%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11%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21%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7.1%</w:t>
            </w:r>
          </w:p>
        </w:tc>
        <w:tc>
          <w:tcPr>
            <w:tcW w:w="1303" w:type="dxa"/>
          </w:tcPr>
          <w:p w:rsidR="00A30E89" w:rsidRPr="00A30E89" w:rsidRDefault="002E2B98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11%</w:t>
            </w:r>
            <w:bookmarkStart w:id="0" w:name="_GoBack"/>
            <w:bookmarkEnd w:id="0"/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Expected standard in maths: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89%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82%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79%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76%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Greater depth in maths: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38%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11%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39%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21%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22&amp;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Expected standard in reading: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55%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75%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76%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86%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75%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Greater depth in reading: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24%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14%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46%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21%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25%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Expected standard in writing: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79%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79%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69%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Greater depth in writing: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17%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14%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33%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14%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15%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Year 1 Phonics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Passing phonics test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75%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303" w:type="dxa"/>
          </w:tcPr>
          <w:p w:rsidR="00A30E89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82%</w:t>
            </w:r>
          </w:p>
        </w:tc>
      </w:tr>
      <w:tr w:rsidR="00E657C7" w:rsidRPr="00A30E89" w:rsidTr="00A30E89">
        <w:tc>
          <w:tcPr>
            <w:tcW w:w="3080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Year 2 Phonics</w:t>
            </w:r>
          </w:p>
        </w:tc>
        <w:tc>
          <w:tcPr>
            <w:tcW w:w="1354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45" w:type="dxa"/>
          </w:tcPr>
          <w:p w:rsidR="00E657C7" w:rsidRPr="00A30E89" w:rsidRDefault="00E657C7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E657C7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</w:tr>
      <w:tr w:rsidR="00E657C7" w:rsidRPr="00A30E89" w:rsidTr="00A30E89">
        <w:tc>
          <w:tcPr>
            <w:tcW w:w="3080" w:type="dxa"/>
          </w:tcPr>
          <w:p w:rsidR="00E657C7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Passing phonics test</w:t>
            </w:r>
          </w:p>
        </w:tc>
        <w:tc>
          <w:tcPr>
            <w:tcW w:w="1354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1345" w:type="dxa"/>
          </w:tcPr>
          <w:p w:rsidR="00E657C7" w:rsidRPr="00A30E89" w:rsidRDefault="00E657C7" w:rsidP="00BB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375" w:type="dxa"/>
          </w:tcPr>
          <w:p w:rsidR="00E657C7" w:rsidRPr="00A30E89" w:rsidRDefault="00E657C7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75%</w:t>
            </w:r>
          </w:p>
        </w:tc>
        <w:tc>
          <w:tcPr>
            <w:tcW w:w="1303" w:type="dxa"/>
          </w:tcPr>
          <w:p w:rsidR="00E657C7" w:rsidRDefault="002E2B98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91%</w:t>
            </w: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  <w:t>Early Years Foundation Stage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  <w:tc>
          <w:tcPr>
            <w:tcW w:w="1303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color w:val="FF0000"/>
                <w:sz w:val="24"/>
                <w:szCs w:val="24"/>
                <w:lang w:eastAsia="en-GB"/>
              </w:rPr>
            </w:pPr>
          </w:p>
        </w:tc>
      </w:tr>
      <w:tr w:rsidR="00A30E89" w:rsidRPr="00A30E89" w:rsidTr="00A30E89">
        <w:tc>
          <w:tcPr>
            <w:tcW w:w="3080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b/>
                <w:color w:val="404040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color w:val="404040"/>
                <w:sz w:val="24"/>
                <w:szCs w:val="24"/>
                <w:lang w:eastAsia="en-GB"/>
              </w:rPr>
              <w:t>Achieving a good level of development</w:t>
            </w:r>
          </w:p>
        </w:tc>
        <w:tc>
          <w:tcPr>
            <w:tcW w:w="1354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089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1345" w:type="dxa"/>
          </w:tcPr>
          <w:p w:rsidR="00A30E89" w:rsidRPr="00A30E89" w:rsidRDefault="00A30E89" w:rsidP="00BB77B9">
            <w:pPr>
              <w:rPr>
                <w:sz w:val="24"/>
                <w:szCs w:val="24"/>
              </w:rPr>
            </w:pPr>
            <w:r w:rsidRPr="00A30E89">
              <w:rPr>
                <w:sz w:val="24"/>
                <w:szCs w:val="24"/>
              </w:rPr>
              <w:t>77%</w:t>
            </w:r>
          </w:p>
        </w:tc>
        <w:tc>
          <w:tcPr>
            <w:tcW w:w="1375" w:type="dxa"/>
          </w:tcPr>
          <w:p w:rsidR="00A30E89" w:rsidRPr="00A30E89" w:rsidRDefault="00A30E89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A30E89">
              <w:rPr>
                <w:rFonts w:eastAsia="Times New Roman" w:cs="Helvetica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3" w:type="dxa"/>
          </w:tcPr>
          <w:p w:rsidR="00A30E89" w:rsidRPr="00A30E89" w:rsidRDefault="002E2B98" w:rsidP="00BB77B9">
            <w:pPr>
              <w:spacing w:after="135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72%</w:t>
            </w:r>
          </w:p>
        </w:tc>
      </w:tr>
    </w:tbl>
    <w:p w:rsidR="00BB77B9" w:rsidRPr="00A30E89" w:rsidRDefault="00BB77B9">
      <w:pPr>
        <w:rPr>
          <w:sz w:val="24"/>
          <w:szCs w:val="24"/>
        </w:rPr>
      </w:pPr>
    </w:p>
    <w:sectPr w:rsidR="00BB77B9" w:rsidRPr="00A30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B9"/>
    <w:rsid w:val="000F258E"/>
    <w:rsid w:val="001719E0"/>
    <w:rsid w:val="00234525"/>
    <w:rsid w:val="002E2B98"/>
    <w:rsid w:val="005C524A"/>
    <w:rsid w:val="00736471"/>
    <w:rsid w:val="00A30E89"/>
    <w:rsid w:val="00BB77B9"/>
    <w:rsid w:val="00E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F386-45CC-4727-AF1E-D3ED6F7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NTaylor-bashford</dc:creator>
  <cp:keywords/>
  <dc:description/>
  <cp:lastModifiedBy>NTaylor-bashford</cp:lastModifiedBy>
  <cp:revision>2</cp:revision>
  <cp:lastPrinted>2019-11-20T17:22:00Z</cp:lastPrinted>
  <dcterms:created xsi:type="dcterms:W3CDTF">2020-01-16T18:09:00Z</dcterms:created>
  <dcterms:modified xsi:type="dcterms:W3CDTF">2020-01-16T18:09:00Z</dcterms:modified>
</cp:coreProperties>
</file>