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34" w:rsidRDefault="002C0179">
      <w:pPr>
        <w:ind w:left="142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For each Early Learning Goal, these tables show the percentage of pupils at each level in 2014 nationally.</w:t>
      </w:r>
    </w:p>
    <w:p w:rsidR="00AA6334" w:rsidRDefault="00AA6334">
      <w:pPr>
        <w:ind w:left="142"/>
        <w:rPr>
          <w:sz w:val="20"/>
        </w:rPr>
      </w:pPr>
    </w:p>
    <w:p w:rsidR="00AA6334" w:rsidRDefault="00AA6334">
      <w:pPr>
        <w:ind w:left="142" w:firstLine="709"/>
        <w:rPr>
          <w:rFonts w:cs="Arial"/>
          <w:sz w:val="20"/>
        </w:rPr>
      </w:pPr>
    </w:p>
    <w:p w:rsidR="00AA6334" w:rsidRDefault="002C0179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Percentage of all pupils at each level for each Early Learning Goal</w:t>
      </w:r>
    </w:p>
    <w:p w:rsidR="00AA6334" w:rsidRDefault="002C017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681"/>
        <w:gridCol w:w="681"/>
        <w:gridCol w:w="681"/>
        <w:gridCol w:w="681"/>
      </w:tblGrid>
      <w:tr w:rsidR="00AA6334">
        <w:trPr>
          <w:cantSplit/>
          <w:trHeight w:hRule="exact" w:val="1441"/>
        </w:trPr>
        <w:tc>
          <w:tcPr>
            <w:tcW w:w="5387" w:type="dxa"/>
            <w:shd w:val="clear" w:color="auto" w:fill="D9D9D9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AA6334" w:rsidRDefault="00AA6334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Listening and attention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84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Understanding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84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Speaking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82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Moving and handling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89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Health and self-care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90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Self-confidence and self-awareness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87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Managing feelings and behaviour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86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Making relationships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87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Reading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54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74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Writing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33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55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67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Numbers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14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74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Shape, space and measures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79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People and communities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84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The World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83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Technology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90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Exploring using media and materials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14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86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Being imaginative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85</w:t>
            </w:r>
          </w:p>
        </w:tc>
      </w:tr>
    </w:tbl>
    <w:p w:rsidR="00AA6334" w:rsidRDefault="00AA6334">
      <w:pPr>
        <w:ind w:left="720"/>
      </w:pPr>
    </w:p>
    <w:p w:rsidR="00AA6334" w:rsidRDefault="002C01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A6334" w:rsidRDefault="00AA6334">
      <w:pPr>
        <w:rPr>
          <w:b/>
          <w:sz w:val="24"/>
          <w:szCs w:val="24"/>
        </w:rPr>
      </w:pPr>
    </w:p>
    <w:p w:rsidR="00AA6334" w:rsidRDefault="00AA6334">
      <w:pPr>
        <w:rPr>
          <w:b/>
          <w:sz w:val="24"/>
          <w:szCs w:val="24"/>
        </w:rPr>
      </w:pPr>
    </w:p>
    <w:p w:rsidR="00AA6334" w:rsidRDefault="002C0179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Percentage of boys at each level for each Early Learning Goal</w:t>
      </w:r>
    </w:p>
    <w:p w:rsidR="00AA6334" w:rsidRDefault="00AA6334">
      <w:pPr>
        <w:rPr>
          <w:b/>
          <w:sz w:val="24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6"/>
        <w:gridCol w:w="709"/>
        <w:gridCol w:w="681"/>
        <w:gridCol w:w="681"/>
        <w:gridCol w:w="681"/>
        <w:gridCol w:w="681"/>
      </w:tblGrid>
      <w:tr w:rsidR="00AA6334">
        <w:trPr>
          <w:cantSplit/>
          <w:trHeight w:hRule="exact" w:val="1441"/>
        </w:trPr>
        <w:tc>
          <w:tcPr>
            <w:tcW w:w="5387" w:type="dxa"/>
            <w:gridSpan w:val="2"/>
            <w:shd w:val="clear" w:color="auto" w:fill="D9D9D9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AA6334" w:rsidRDefault="00AA6334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Listening and attention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79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Understanding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79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Speaking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77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Moving and handling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84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Health and self-care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87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Self-confidence and self-awareness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14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84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Managing feelings and behaviour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80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Making relationships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83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Reading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32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52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68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Writing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41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51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59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Numbers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56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Shape, space and measures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75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People and communities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79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The World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67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80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Technology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77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89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Exploring using media and materials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80</w:t>
            </w:r>
          </w:p>
        </w:tc>
      </w:tr>
      <w:tr w:rsidR="00AA6334">
        <w:trPr>
          <w:trHeight w:hRule="exact" w:val="284"/>
        </w:trPr>
        <w:tc>
          <w:tcPr>
            <w:tcW w:w="5381" w:type="dxa"/>
            <w:vAlign w:val="center"/>
          </w:tcPr>
          <w:p w:rsidR="00AA6334" w:rsidRDefault="002C0179">
            <w:pPr>
              <w:ind w:left="720"/>
            </w:pPr>
            <w:r>
              <w:t>Being imaginative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79</w:t>
            </w:r>
          </w:p>
        </w:tc>
      </w:tr>
    </w:tbl>
    <w:p w:rsidR="00AA6334" w:rsidRDefault="00AA6334"/>
    <w:p w:rsidR="00AA6334" w:rsidRDefault="002C01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A6334" w:rsidRDefault="00AA6334">
      <w:pPr>
        <w:rPr>
          <w:b/>
          <w:sz w:val="24"/>
          <w:szCs w:val="24"/>
        </w:rPr>
      </w:pPr>
    </w:p>
    <w:p w:rsidR="00AA6334" w:rsidRDefault="00AA6334">
      <w:pPr>
        <w:rPr>
          <w:b/>
          <w:sz w:val="24"/>
          <w:szCs w:val="24"/>
        </w:rPr>
      </w:pPr>
    </w:p>
    <w:p w:rsidR="00AA6334" w:rsidRDefault="002C0179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Percentage of girls at each level for each Early Learning Goal</w:t>
      </w:r>
    </w:p>
    <w:p w:rsidR="00AA6334" w:rsidRDefault="00AA6334">
      <w:pPr>
        <w:rPr>
          <w:b/>
          <w:sz w:val="24"/>
          <w:szCs w:val="24"/>
        </w:rPr>
      </w:pPr>
    </w:p>
    <w:tbl>
      <w:tblPr>
        <w:tblW w:w="8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81"/>
        <w:gridCol w:w="681"/>
        <w:gridCol w:w="681"/>
        <w:gridCol w:w="681"/>
        <w:gridCol w:w="681"/>
      </w:tblGrid>
      <w:tr w:rsidR="00AA6334">
        <w:trPr>
          <w:cantSplit/>
          <w:trHeight w:hRule="exact" w:val="1441"/>
        </w:trPr>
        <w:tc>
          <w:tcPr>
            <w:tcW w:w="5387" w:type="dxa"/>
            <w:shd w:val="clear" w:color="auto" w:fill="D9D9D9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AA6334" w:rsidRDefault="00AA6334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AA6334" w:rsidRDefault="002C0179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A6334" w:rsidRDefault="00AA6334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Listening and attention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89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Understanding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88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Speaking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87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Moving and handling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93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Health and self-care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94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Self-confidence and self-awareness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91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Managing feelings and behaviour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91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Making relationships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73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92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Reading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57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80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Writing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59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75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Numbers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14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78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Shape, space and measures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69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82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People and communities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14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88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The World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87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Technology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82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91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Exploring using media and materials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73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93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2C0179">
            <w:pPr>
              <w:ind w:left="720"/>
            </w:pPr>
            <w:r>
              <w:t>Being imaginative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74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18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2C0179">
            <w:pPr>
              <w:jc w:val="center"/>
            </w:pPr>
            <w:r>
              <w:t>91</w:t>
            </w:r>
          </w:p>
        </w:tc>
      </w:tr>
      <w:tr w:rsidR="00AA6334">
        <w:trPr>
          <w:trHeight w:hRule="exact" w:val="284"/>
        </w:trPr>
        <w:tc>
          <w:tcPr>
            <w:tcW w:w="5387" w:type="dxa"/>
            <w:vAlign w:val="center"/>
          </w:tcPr>
          <w:p w:rsidR="00AA6334" w:rsidRDefault="00AA6334">
            <w:pPr>
              <w:ind w:left="720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334" w:rsidRDefault="00AA6334">
            <w:pPr>
              <w:jc w:val="center"/>
            </w:pPr>
          </w:p>
        </w:tc>
      </w:tr>
    </w:tbl>
    <w:p w:rsidR="00AA6334" w:rsidRDefault="00AA6334"/>
    <w:sectPr w:rsidR="00AA6334" w:rsidSect="00AA63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386" w:bottom="244" w:left="57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D3" w:rsidRDefault="00644CD3">
      <w:r>
        <w:separator/>
      </w:r>
    </w:p>
  </w:endnote>
  <w:endnote w:type="continuationSeparator" w:id="0">
    <w:p w:rsidR="00644CD3" w:rsidRDefault="0064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34" w:rsidRDefault="002C0179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ind w:left="714" w:hanging="357"/>
      <w:rPr>
        <w:sz w:val="16"/>
        <w:szCs w:val="16"/>
      </w:rPr>
    </w:pPr>
    <w:r>
      <w:rPr>
        <w:sz w:val="16"/>
        <w:szCs w:val="16"/>
      </w:rPr>
      <w:t>National outcomes are drawn from all English providers of state-funded early years education (including academies and free schools), private, voluntary and independent (PVI) sectors that are within the scope of the EYFSP data collection.</w:t>
    </w:r>
  </w:p>
  <w:p w:rsidR="00AA6334" w:rsidRDefault="002C0179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Calculations of percentages are based upon the number of results, not the number of pupils in the group.</w:t>
    </w:r>
  </w:p>
  <w:p w:rsidR="00AA6334" w:rsidRDefault="002C0179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Percentages may not add up to 100 due to rounding.</w:t>
    </w:r>
  </w:p>
  <w:p w:rsidR="00AA6334" w:rsidRDefault="002C0179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The ‘At Least Expected’ column is based upon ‘Emerging’ or ‘Exceeding’ grades.</w:t>
    </w:r>
  </w:p>
  <w:p w:rsidR="00AA6334" w:rsidRDefault="002C0179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Please note that unlike the School Report, pupils who have an ‘A’ grade or missing result are not included in the percentage calculations.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34" w:rsidRDefault="002C0179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ind w:left="714" w:hanging="357"/>
      <w:rPr>
        <w:sz w:val="16"/>
        <w:szCs w:val="16"/>
      </w:rPr>
    </w:pPr>
    <w:r>
      <w:rPr>
        <w:sz w:val="16"/>
        <w:szCs w:val="16"/>
      </w:rPr>
      <w:t>National outcomes are drawn from all English providers of state-funded early years education (including academies and free schools), private, voluntary and independent (PVI) sectors that are within the scope of the EYFSP data collection.</w:t>
    </w:r>
  </w:p>
  <w:p w:rsidR="00AA6334" w:rsidRDefault="002C0179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Calculations of percentages are based upon the number of results, not the number of pupils in the group.</w:t>
    </w:r>
  </w:p>
  <w:p w:rsidR="00AA6334" w:rsidRDefault="002C0179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Percentages may not add up to 100 due to rounding.</w:t>
    </w:r>
  </w:p>
  <w:p w:rsidR="00AA6334" w:rsidRDefault="002C0179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The ‘At Least Expected’ column is based upon ‘Emerging’ or ‘Exceeding’ grades.</w:t>
    </w:r>
  </w:p>
  <w:p w:rsidR="00AA6334" w:rsidRDefault="002C0179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Please note that unlike the School Report, pupils who have an ‘A’ grade or missing result are not included in the percentage calculations.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D3" w:rsidRDefault="00644CD3">
      <w:r>
        <w:separator/>
      </w:r>
    </w:p>
  </w:footnote>
  <w:footnote w:type="continuationSeparator" w:id="0">
    <w:p w:rsidR="00644CD3" w:rsidRDefault="0064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34" w:rsidRDefault="00AA6334">
    <w:pPr>
      <w:pStyle w:val="Header"/>
    </w:pPr>
  </w:p>
  <w:p w:rsidR="00AA6334" w:rsidRDefault="00AA6334">
    <w:pPr>
      <w:pStyle w:val="Header"/>
    </w:pPr>
  </w:p>
  <w:p w:rsidR="00AA6334" w:rsidRDefault="00AA6334">
    <w:pPr>
      <w:pStyle w:val="Header"/>
    </w:pPr>
  </w:p>
  <w:p w:rsidR="00AA6334" w:rsidRDefault="00AA6334">
    <w:pPr>
      <w:pStyle w:val="Header"/>
    </w:pPr>
  </w:p>
  <w:p w:rsidR="00AA6334" w:rsidRDefault="00AA6334">
    <w:pPr>
      <w:pStyle w:val="Header"/>
    </w:pPr>
  </w:p>
  <w:p w:rsidR="00AA6334" w:rsidRDefault="00AA6334">
    <w:pPr>
      <w:pStyle w:val="Header"/>
    </w:pPr>
  </w:p>
  <w:p w:rsidR="00AA6334" w:rsidRDefault="00AA6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shd w:val="clear" w:color="auto" w:fill="D9D9D9"/>
      <w:tblLook w:val="04A0" w:firstRow="1" w:lastRow="0" w:firstColumn="1" w:lastColumn="0" w:noHBand="0" w:noVBand="1"/>
    </w:tblPr>
    <w:tblGrid>
      <w:gridCol w:w="10631"/>
    </w:tblGrid>
    <w:tr w:rsidR="00AA6334">
      <w:trPr>
        <w:trHeight w:hRule="exact" w:val="964"/>
      </w:trPr>
      <w:tc>
        <w:tcPr>
          <w:tcW w:w="10631" w:type="dxa"/>
          <w:shd w:val="clear" w:color="auto" w:fill="D9D9D9"/>
          <w:vAlign w:val="center"/>
        </w:tcPr>
        <w:p w:rsidR="00AA6334" w:rsidRDefault="002C017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Early Years Foundation Stage Profile 2015</w:t>
          </w:r>
        </w:p>
      </w:tc>
    </w:tr>
    <w:tr w:rsidR="00AA6334">
      <w:trPr>
        <w:trHeight w:hRule="exact" w:val="567"/>
      </w:trPr>
      <w:tc>
        <w:tcPr>
          <w:tcW w:w="10631" w:type="dxa"/>
          <w:shd w:val="clear" w:color="auto" w:fill="D9D9D9"/>
          <w:vAlign w:val="center"/>
        </w:tcPr>
        <w:p w:rsidR="00AA6334" w:rsidRDefault="002C017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National Report</w:t>
          </w:r>
        </w:p>
      </w:tc>
    </w:tr>
  </w:tbl>
  <w:p w:rsidR="00AA6334" w:rsidRDefault="00AA6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00355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3020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22184E"/>
    <w:multiLevelType w:val="hybridMultilevel"/>
    <w:tmpl w:val="2914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>
    <w:nsid w:val="28C9745B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4390A"/>
    <w:multiLevelType w:val="hybridMultilevel"/>
    <w:tmpl w:val="F26803CA"/>
    <w:lvl w:ilvl="0" w:tplc="6AE0B3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863591A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2765"/>
    <w:multiLevelType w:val="hybridMultilevel"/>
    <w:tmpl w:val="2914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34"/>
    <w:rsid w:val="00000768"/>
    <w:rsid w:val="0009492F"/>
    <w:rsid w:val="002C0179"/>
    <w:rsid w:val="00616A2E"/>
    <w:rsid w:val="00644CD3"/>
    <w:rsid w:val="00AA6334"/>
    <w:rsid w:val="00AB389B"/>
    <w:rsid w:val="00AF75BF"/>
    <w:rsid w:val="00E00B2D"/>
    <w:rsid w:val="00E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A633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633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A6334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AA6334"/>
    <w:pPr>
      <w:spacing w:before="120" w:after="60" w:line="240" w:lineRule="atLeast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AA6334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AA6334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AA6334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AA6334"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AA6334"/>
    <w:pPr>
      <w:keepNext/>
      <w:outlineLvl w:val="7"/>
    </w:pPr>
    <w:rPr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63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6334"/>
  </w:style>
  <w:style w:type="character" w:styleId="Hyperlink">
    <w:name w:val="Hyperlink"/>
    <w:rsid w:val="00AA6334"/>
    <w:rPr>
      <w:color w:val="0000FF"/>
      <w:u w:val="single"/>
    </w:rPr>
  </w:style>
  <w:style w:type="character" w:styleId="FollowedHyperlink">
    <w:name w:val="FollowedHyperlink"/>
    <w:rsid w:val="00AA6334"/>
    <w:rPr>
      <w:color w:val="800080"/>
      <w:u w:val="single"/>
    </w:rPr>
  </w:style>
  <w:style w:type="paragraph" w:customStyle="1" w:styleId="DfESOutNumbered">
    <w:name w:val="DfESOutNumbered"/>
    <w:basedOn w:val="Normal"/>
    <w:rsid w:val="00AA6334"/>
    <w:pPr>
      <w:numPr>
        <w:numId w:val="8"/>
      </w:numPr>
      <w:spacing w:after="240"/>
    </w:pPr>
  </w:style>
  <w:style w:type="paragraph" w:styleId="Caption">
    <w:name w:val="caption"/>
    <w:basedOn w:val="Normal"/>
    <w:next w:val="Normal"/>
    <w:qFormat/>
    <w:rsid w:val="00AA6334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rsid w:val="00AA63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hanging="180"/>
    </w:pPr>
  </w:style>
  <w:style w:type="paragraph" w:styleId="BalloonText">
    <w:name w:val="Balloon Text"/>
    <w:basedOn w:val="Normal"/>
    <w:rsid w:val="00AA63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A6334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rsid w:val="00AA6334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A633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633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A6334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AA6334"/>
    <w:pPr>
      <w:spacing w:before="120" w:after="60" w:line="240" w:lineRule="atLeast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AA6334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AA6334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AA6334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AA6334"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AA6334"/>
    <w:pPr>
      <w:keepNext/>
      <w:outlineLvl w:val="7"/>
    </w:pPr>
    <w:rPr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6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A63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6334"/>
  </w:style>
  <w:style w:type="character" w:styleId="Hyperlink">
    <w:name w:val="Hyperlink"/>
    <w:rsid w:val="00AA6334"/>
    <w:rPr>
      <w:color w:val="0000FF"/>
      <w:u w:val="single"/>
    </w:rPr>
  </w:style>
  <w:style w:type="character" w:styleId="FollowedHyperlink">
    <w:name w:val="FollowedHyperlink"/>
    <w:rsid w:val="00AA6334"/>
    <w:rPr>
      <w:color w:val="800080"/>
      <w:u w:val="single"/>
    </w:rPr>
  </w:style>
  <w:style w:type="paragraph" w:customStyle="1" w:styleId="DfESOutNumbered">
    <w:name w:val="DfESOutNumbered"/>
    <w:basedOn w:val="Normal"/>
    <w:rsid w:val="00AA6334"/>
    <w:pPr>
      <w:numPr>
        <w:numId w:val="8"/>
      </w:numPr>
      <w:spacing w:after="240"/>
    </w:pPr>
  </w:style>
  <w:style w:type="paragraph" w:styleId="Caption">
    <w:name w:val="caption"/>
    <w:basedOn w:val="Normal"/>
    <w:next w:val="Normal"/>
    <w:qFormat/>
    <w:rsid w:val="00AA6334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rsid w:val="00AA63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hanging="180"/>
    </w:pPr>
  </w:style>
  <w:style w:type="paragraph" w:styleId="BalloonText">
    <w:name w:val="Balloon Text"/>
    <w:basedOn w:val="Normal"/>
    <w:rsid w:val="00AA63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A6334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rsid w:val="00AA633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Lesley.Godfrey73\50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5</TotalTime>
  <Pages>3</Pages>
  <Words>435</Words>
  <Characters>2486</Characters>
  <Application>Microsoft Office Word</Application>
  <DocSecurity>0</DocSecurity>
  <Lines>20</Lines>
  <Paragraphs>5</Paragraphs>
  <ScaleCrop>false</ScaleCrop>
  <Company>Mastek Ltd.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creator>CHarding</dc:creator>
  <dc:description>Modified by Graham</dc:description>
  <cp:lastModifiedBy>Melanie</cp:lastModifiedBy>
  <cp:revision>2</cp:revision>
  <cp:lastPrinted>2013-12-05T09:05:00Z</cp:lastPrinted>
  <dcterms:created xsi:type="dcterms:W3CDTF">2015-09-13T14:12:00Z</dcterms:created>
  <dcterms:modified xsi:type="dcterms:W3CDTF">2015-09-13T14:12:00Z</dcterms:modified>
</cp:coreProperties>
</file>